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F8" w:rsidRDefault="00BC1B45">
      <w:pPr>
        <w:spacing w:before="105"/>
        <w:ind w:left="178"/>
        <w:rPr>
          <w:b/>
          <w:sz w:val="19"/>
        </w:rPr>
      </w:pPr>
      <w:r>
        <w:rPr>
          <w:b/>
          <w:sz w:val="19"/>
        </w:rPr>
        <w:t>BHSD</w:t>
      </w:r>
      <w:r>
        <w:rPr>
          <w:b/>
          <w:sz w:val="19"/>
        </w:rPr>
        <w:t xml:space="preserve"> Learning</w:t>
      </w:r>
      <w:r>
        <w:rPr>
          <w:b/>
          <w:sz w:val="19"/>
        </w:rPr>
        <w:t xml:space="preserve"> Partnership presents:</w:t>
      </w:r>
    </w:p>
    <w:p w:rsidR="00191FF8" w:rsidRDefault="00BC1B45">
      <w:pPr>
        <w:pStyle w:val="BodyText"/>
        <w:spacing w:before="81"/>
        <w:ind w:left="1187" w:right="1211"/>
        <w:jc w:val="center"/>
      </w:pPr>
      <w:r>
        <w:t xml:space="preserve">Understanding </w:t>
      </w:r>
      <w:r>
        <w:rPr>
          <w:spacing w:val="6"/>
        </w:rPr>
        <w:t xml:space="preserve">Our </w:t>
      </w:r>
      <w:r>
        <w:t>Attachment to</w:t>
      </w:r>
      <w:r>
        <w:rPr>
          <w:spacing w:val="82"/>
        </w:rPr>
        <w:t xml:space="preserve"> </w:t>
      </w:r>
      <w:r>
        <w:t>Attachment:</w:t>
      </w:r>
    </w:p>
    <w:p w:rsidR="00191FF8" w:rsidRDefault="00BC1B45">
      <w:pPr>
        <w:pStyle w:val="BodyText"/>
        <w:spacing w:before="13"/>
        <w:ind w:left="1210" w:right="1211"/>
        <w:jc w:val="center"/>
        <w:rPr>
          <w:sz w:val="36"/>
        </w:rPr>
      </w:pPr>
      <w:r>
        <w:t xml:space="preserve">The Basics of Attachment Theories and Clinical </w:t>
      </w:r>
      <w:bookmarkStart w:id="0" w:name="_GoBack"/>
      <w:bookmarkEnd w:id="0"/>
      <w:r>
        <w:t>Relevan</w:t>
      </w:r>
      <w:r>
        <w:rPr>
          <w:sz w:val="36"/>
        </w:rPr>
        <w:t>ce</w:t>
      </w:r>
    </w:p>
    <w:p w:rsidR="00191FF8" w:rsidRDefault="00191FF8">
      <w:pPr>
        <w:spacing w:before="7"/>
        <w:rPr>
          <w:b/>
          <w:sz w:val="5"/>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6"/>
        <w:gridCol w:w="6275"/>
      </w:tblGrid>
      <w:tr w:rsidR="00191FF8">
        <w:trPr>
          <w:trHeight w:hRule="exact" w:val="5880"/>
        </w:trPr>
        <w:tc>
          <w:tcPr>
            <w:tcW w:w="4416" w:type="dxa"/>
            <w:vMerge w:val="restart"/>
          </w:tcPr>
          <w:p w:rsidR="00191FF8" w:rsidRDefault="00BC1B45">
            <w:pPr>
              <w:pStyle w:val="TableParagraph"/>
              <w:spacing w:before="79"/>
              <w:ind w:right="57"/>
              <w:rPr>
                <w:sz w:val="18"/>
              </w:rPr>
            </w:pPr>
            <w:r>
              <w:rPr>
                <w:b/>
                <w:sz w:val="19"/>
              </w:rPr>
              <w:t xml:space="preserve">Kristie Brandt, Ph.D. </w:t>
            </w:r>
            <w:r>
              <w:rPr>
                <w:sz w:val="18"/>
              </w:rPr>
              <w:t>is an internationally known teacher, trainer, clinician, and consultant. She is Direc</w:t>
            </w:r>
            <w:r>
              <w:rPr>
                <w:sz w:val="18"/>
              </w:rPr>
              <w:t>tor of the Parent-Infant &amp; Child Institute in Napa, CA that provides clinical services for children age 0-5, consultation for parents and providers, and profes</w:t>
            </w:r>
            <w:r>
              <w:rPr>
                <w:sz w:val="18"/>
              </w:rPr>
              <w:t>sional t</w:t>
            </w:r>
            <w:r>
              <w:rPr>
                <w:sz w:val="18"/>
              </w:rPr>
              <w:t>raining. She is also an Assistance Clinical Pro</w:t>
            </w:r>
            <w:r>
              <w:rPr>
                <w:sz w:val="18"/>
              </w:rPr>
              <w:t>fessor of Pediatrics V.F. at U.C. Davis School of Medi</w:t>
            </w:r>
            <w:r>
              <w:rPr>
                <w:sz w:val="18"/>
              </w:rPr>
              <w:t>cine. Dr. Brandt was the Chief Public Health Manager for Napa County Public Health and retired after 25 years of overseeing Maternal-Child Health and o</w:t>
            </w:r>
            <w:r>
              <w:rPr>
                <w:sz w:val="18"/>
              </w:rPr>
              <w:t>ther public health services. She co-developed and directs the 15-month Napa Parent Mental Health Fellowship Program in Napa, CA, a nationally renowned Infant- Family and Early Childhood Mental Health program that has been training professionals since 2002.</w:t>
            </w:r>
            <w:r>
              <w:rPr>
                <w:sz w:val="18"/>
              </w:rPr>
              <w:t xml:space="preserve"> She is a Child Trauma Academy Teaching Fellow with Dr.</w:t>
            </w:r>
          </w:p>
          <w:p w:rsidR="00BC1B45" w:rsidRDefault="00BC1B45">
            <w:pPr>
              <w:pStyle w:val="TableParagraph"/>
              <w:ind w:right="34"/>
              <w:rPr>
                <w:sz w:val="18"/>
              </w:rPr>
            </w:pPr>
            <w:r>
              <w:rPr>
                <w:sz w:val="18"/>
              </w:rPr>
              <w:t xml:space="preserve">Bruce Perry, and lectured nationally and </w:t>
            </w:r>
          </w:p>
          <w:p w:rsidR="00191FF8" w:rsidRDefault="00BC1B45">
            <w:pPr>
              <w:pStyle w:val="TableParagraph"/>
              <w:ind w:right="34"/>
              <w:rPr>
                <w:sz w:val="18"/>
              </w:rPr>
            </w:pPr>
            <w:proofErr w:type="gramStart"/>
            <w:r>
              <w:rPr>
                <w:sz w:val="18"/>
              </w:rPr>
              <w:t>international</w:t>
            </w:r>
            <w:r>
              <w:rPr>
                <w:sz w:val="18"/>
              </w:rPr>
              <w:t>ly</w:t>
            </w:r>
            <w:proofErr w:type="gramEnd"/>
            <w:r>
              <w:rPr>
                <w:sz w:val="18"/>
              </w:rPr>
              <w:t xml:space="preserve"> with Dr. Berry </w:t>
            </w:r>
            <w:proofErr w:type="spellStart"/>
            <w:r>
              <w:rPr>
                <w:sz w:val="18"/>
              </w:rPr>
              <w:t>Brazelton</w:t>
            </w:r>
            <w:proofErr w:type="spellEnd"/>
            <w:r>
              <w:rPr>
                <w:sz w:val="18"/>
              </w:rPr>
              <w:t xml:space="preserve"> on the National Seminar Series for 15 years. Dr. Brandt is the lead author of the book </w:t>
            </w:r>
            <w:r>
              <w:rPr>
                <w:i/>
                <w:sz w:val="18"/>
              </w:rPr>
              <w:t>“Infant &amp; Early Childhood Men</w:t>
            </w:r>
            <w:r>
              <w:rPr>
                <w:i/>
                <w:sz w:val="18"/>
              </w:rPr>
              <w:t xml:space="preserve">tal Health: Core Concepts &amp; Clinical Practice” </w:t>
            </w:r>
            <w:r>
              <w:rPr>
                <w:sz w:val="18"/>
              </w:rPr>
              <w:t>published by the Ameri</w:t>
            </w:r>
            <w:r>
              <w:rPr>
                <w:sz w:val="18"/>
              </w:rPr>
              <w:t>can Psychiatric Publishing in 2014, and author of the book “</w:t>
            </w:r>
            <w:r>
              <w:rPr>
                <w:i/>
                <w:sz w:val="18"/>
              </w:rPr>
              <w:t>Facilitating the Reflective Process: An Introduc</w:t>
            </w:r>
            <w:r>
              <w:rPr>
                <w:i/>
                <w:sz w:val="18"/>
              </w:rPr>
              <w:t>tory Workbook for the Infant-Parent &amp; Early Childhood Mental Health Field.”</w:t>
            </w:r>
            <w:r>
              <w:rPr>
                <w:i/>
                <w:sz w:val="18"/>
              </w:rPr>
              <w:t xml:space="preserve"> </w:t>
            </w:r>
            <w:r>
              <w:rPr>
                <w:sz w:val="18"/>
              </w:rPr>
              <w:t>She earned her master’s and Doctorate at Case Western Reserve University, and is endorsed through the Michigan Association for Infant Mental Health, within the League of States, as an Infant Mental Health Specialist and Clinical Mentor, and is endorsed in</w:t>
            </w:r>
            <w:r>
              <w:rPr>
                <w:sz w:val="18"/>
              </w:rPr>
              <w:t xml:space="preserve"> California as an Infant-Family &amp; Early Childhood Mental Health Specialist and a Re</w:t>
            </w:r>
            <w:r>
              <w:rPr>
                <w:sz w:val="18"/>
              </w:rPr>
              <w:t>flective Practice Facilitator III/Mentor.</w:t>
            </w:r>
          </w:p>
          <w:p w:rsidR="00191FF8" w:rsidRDefault="00191FF8">
            <w:pPr>
              <w:pStyle w:val="TableParagraph"/>
              <w:ind w:left="0"/>
              <w:rPr>
                <w:b/>
                <w:sz w:val="18"/>
              </w:rPr>
            </w:pPr>
          </w:p>
          <w:p w:rsidR="00191FF8" w:rsidRDefault="00BC1B45">
            <w:pPr>
              <w:pStyle w:val="TableParagraph"/>
              <w:ind w:right="296"/>
              <w:rPr>
                <w:b/>
                <w:sz w:val="18"/>
              </w:rPr>
            </w:pPr>
            <w:r>
              <w:rPr>
                <w:b/>
                <w:sz w:val="18"/>
              </w:rPr>
              <w:t>Please contact Learning Partnership if you need accommodations for one of our trainings at 408-792-3900.</w:t>
            </w:r>
          </w:p>
          <w:p w:rsidR="00191FF8" w:rsidRDefault="00BC1B45">
            <w:pPr>
              <w:pStyle w:val="TableParagraph"/>
              <w:ind w:right="57"/>
              <w:rPr>
                <w:b/>
                <w:sz w:val="18"/>
              </w:rPr>
            </w:pPr>
            <w:r>
              <w:rPr>
                <w:b/>
                <w:sz w:val="18"/>
              </w:rPr>
              <w:t>You now can download/pr</w:t>
            </w:r>
            <w:r>
              <w:rPr>
                <w:b/>
                <w:sz w:val="18"/>
              </w:rPr>
              <w:t xml:space="preserve">int your own CEU Certificate online at </w:t>
            </w:r>
            <w:proofErr w:type="spellStart"/>
            <w:r>
              <w:rPr>
                <w:b/>
                <w:sz w:val="18"/>
              </w:rPr>
              <w:t>sccLearn</w:t>
            </w:r>
            <w:proofErr w:type="spellEnd"/>
            <w:r>
              <w:rPr>
                <w:b/>
                <w:sz w:val="18"/>
              </w:rPr>
              <w:t xml:space="preserve"> 2 weeks after the training date.</w:t>
            </w:r>
          </w:p>
          <w:p w:rsidR="00191FF8" w:rsidRDefault="00BC1B45">
            <w:pPr>
              <w:pStyle w:val="TableParagraph"/>
              <w:ind w:right="448"/>
              <w:rPr>
                <w:b/>
                <w:sz w:val="18"/>
              </w:rPr>
            </w:pPr>
            <w:r>
              <w:rPr>
                <w:b/>
                <w:sz w:val="18"/>
              </w:rPr>
              <w:t>Do you have a Grievance? Please call Learning Partnership at 408-792-3900.</w:t>
            </w:r>
          </w:p>
          <w:p w:rsidR="00191FF8" w:rsidRDefault="00BC1B45">
            <w:pPr>
              <w:pStyle w:val="TableParagraph"/>
              <w:ind w:left="520"/>
              <w:rPr>
                <w:b/>
                <w:sz w:val="18"/>
              </w:rPr>
            </w:pPr>
            <w:r>
              <w:rPr>
                <w:b/>
                <w:sz w:val="18"/>
              </w:rPr>
              <w:t>Trainer provides PowerPoint/Handouts.</w:t>
            </w:r>
          </w:p>
        </w:tc>
        <w:tc>
          <w:tcPr>
            <w:tcW w:w="6275" w:type="dxa"/>
          </w:tcPr>
          <w:p w:rsidR="00191FF8" w:rsidRDefault="00BC1B45">
            <w:pPr>
              <w:pStyle w:val="TableParagraph"/>
              <w:spacing w:before="19" w:line="236" w:lineRule="exact"/>
              <w:rPr>
                <w:b/>
                <w:sz w:val="19"/>
              </w:rPr>
            </w:pPr>
            <w:r>
              <w:rPr>
                <w:b/>
                <w:sz w:val="19"/>
              </w:rPr>
              <w:t>COURSE DESCRIPTION:</w:t>
            </w:r>
          </w:p>
          <w:p w:rsidR="00191FF8" w:rsidRDefault="00BC1B45">
            <w:pPr>
              <w:pStyle w:val="TableParagraph"/>
              <w:spacing w:line="223" w:lineRule="exact"/>
              <w:rPr>
                <w:sz w:val="18"/>
              </w:rPr>
            </w:pPr>
            <w:r>
              <w:rPr>
                <w:sz w:val="18"/>
              </w:rPr>
              <w:t>This session will open with a description of the key theorists and researchers</w:t>
            </w:r>
          </w:p>
          <w:p w:rsidR="00BC1B45" w:rsidRDefault="00BC1B45">
            <w:pPr>
              <w:pStyle w:val="TableParagraph"/>
              <w:ind w:right="70"/>
              <w:rPr>
                <w:sz w:val="18"/>
              </w:rPr>
            </w:pPr>
            <w:proofErr w:type="gramStart"/>
            <w:r>
              <w:rPr>
                <w:sz w:val="18"/>
              </w:rPr>
              <w:t>in</w:t>
            </w:r>
            <w:proofErr w:type="gramEnd"/>
            <w:r>
              <w:rPr>
                <w:sz w:val="18"/>
              </w:rPr>
              <w:t xml:space="preserve"> the </w:t>
            </w:r>
            <w:r>
              <w:rPr>
                <w:spacing w:val="-3"/>
                <w:sz w:val="18"/>
              </w:rPr>
              <w:t xml:space="preserve">area </w:t>
            </w:r>
            <w:r>
              <w:rPr>
                <w:sz w:val="18"/>
              </w:rPr>
              <w:t>of attachment, and will compare and contrast their perspectives. A brief overview of the literature related to child and adult attachment will be discussed, includin</w:t>
            </w:r>
            <w:r>
              <w:rPr>
                <w:sz w:val="18"/>
              </w:rPr>
              <w:t xml:space="preserve">g the implications of attachment theory in early care set- tings and in adult professionals engaged in therapeutic work. </w:t>
            </w:r>
            <w:r>
              <w:rPr>
                <w:spacing w:val="4"/>
                <w:sz w:val="18"/>
              </w:rPr>
              <w:t xml:space="preserve">The </w:t>
            </w:r>
            <w:r>
              <w:rPr>
                <w:sz w:val="18"/>
              </w:rPr>
              <w:t xml:space="preserve">distinction </w:t>
            </w:r>
            <w:r>
              <w:rPr>
                <w:spacing w:val="-3"/>
                <w:sz w:val="18"/>
              </w:rPr>
              <w:t xml:space="preserve">between </w:t>
            </w:r>
            <w:r>
              <w:rPr>
                <w:sz w:val="18"/>
              </w:rPr>
              <w:t>the “Attachment” and “Love” systems and processes will be dis- cussed from psycho-dynamic and neurobiological perspectives. Finally, a child</w:t>
            </w:r>
            <w:r>
              <w:rPr>
                <w:sz w:val="18"/>
              </w:rPr>
              <w:t xml:space="preserve">’s behaviors, suggestive of the various attachment categories, will be considered by the group, and </w:t>
            </w:r>
            <w:r>
              <w:rPr>
                <w:spacing w:val="5"/>
                <w:sz w:val="18"/>
              </w:rPr>
              <w:t xml:space="preserve">the </w:t>
            </w:r>
            <w:r>
              <w:rPr>
                <w:sz w:val="18"/>
              </w:rPr>
              <w:t xml:space="preserve">group will discuss how the concept of </w:t>
            </w:r>
          </w:p>
          <w:p w:rsidR="00191FF8" w:rsidRDefault="00BC1B45">
            <w:pPr>
              <w:pStyle w:val="TableParagraph"/>
              <w:ind w:right="70"/>
              <w:rPr>
                <w:sz w:val="18"/>
              </w:rPr>
            </w:pPr>
            <w:proofErr w:type="gramStart"/>
            <w:r>
              <w:rPr>
                <w:sz w:val="18"/>
              </w:rPr>
              <w:t>at</w:t>
            </w:r>
            <w:r>
              <w:rPr>
                <w:sz w:val="18"/>
              </w:rPr>
              <w:t>tachment</w:t>
            </w:r>
            <w:proofErr w:type="gramEnd"/>
            <w:r>
              <w:rPr>
                <w:sz w:val="18"/>
              </w:rPr>
              <w:t xml:space="preserve"> can be appropriately described in clinical notes and legal reports.</w:t>
            </w:r>
          </w:p>
          <w:p w:rsidR="00191FF8" w:rsidRDefault="00191FF8">
            <w:pPr>
              <w:pStyle w:val="TableParagraph"/>
              <w:ind w:left="0"/>
              <w:rPr>
                <w:b/>
                <w:sz w:val="18"/>
              </w:rPr>
            </w:pPr>
          </w:p>
          <w:p w:rsidR="00BC1B45" w:rsidRDefault="00BC1B45">
            <w:pPr>
              <w:pStyle w:val="TableParagraph"/>
              <w:spacing w:before="1" w:line="237" w:lineRule="auto"/>
              <w:ind w:right="67"/>
              <w:rPr>
                <w:b/>
                <w:i/>
                <w:sz w:val="18"/>
              </w:rPr>
            </w:pPr>
            <w:r>
              <w:rPr>
                <w:b/>
                <w:sz w:val="18"/>
              </w:rPr>
              <w:t>**</w:t>
            </w:r>
            <w:r>
              <w:rPr>
                <w:b/>
                <w:sz w:val="18"/>
              </w:rPr>
              <w:t xml:space="preserve">* </w:t>
            </w:r>
            <w:r>
              <w:rPr>
                <w:b/>
                <w:i/>
                <w:sz w:val="18"/>
              </w:rPr>
              <w:t>Santa Clara County Behavioral Health Services Department (SCCBHSD) is approved by the CA Association of Marriage and Family Therapist (CAMFT) to sponsor continuing education for Santa Clara County LMFTs, LCSWs, LPCCs, and/or LEPs. SCCBHSD maintains</w:t>
            </w:r>
          </w:p>
          <w:p w:rsidR="00191FF8" w:rsidRDefault="00BC1B45">
            <w:pPr>
              <w:pStyle w:val="TableParagraph"/>
              <w:spacing w:before="1" w:line="237" w:lineRule="auto"/>
              <w:ind w:right="67"/>
              <w:rPr>
                <w:b/>
                <w:i/>
                <w:sz w:val="18"/>
              </w:rPr>
            </w:pPr>
            <w:proofErr w:type="gramStart"/>
            <w:r>
              <w:rPr>
                <w:b/>
                <w:i/>
                <w:sz w:val="18"/>
              </w:rPr>
              <w:t>respon</w:t>
            </w:r>
            <w:r>
              <w:rPr>
                <w:b/>
                <w:i/>
                <w:sz w:val="18"/>
              </w:rPr>
              <w:t>sibility</w:t>
            </w:r>
            <w:proofErr w:type="gramEnd"/>
            <w:r>
              <w:rPr>
                <w:b/>
                <w:i/>
                <w:sz w:val="18"/>
              </w:rPr>
              <w:t xml:space="preserve"> for this program/course and its content. This course meets the qualifications for 6 hours of CEUs for LMFTs, LCSWs, LPCCs, and/or LEPs, as required by the CA Board of Behavioral Sciences (BBS). CAMFT is the BBS recognized approval agency-Provid</w:t>
            </w:r>
            <w:r>
              <w:rPr>
                <w:b/>
                <w:i/>
                <w:sz w:val="18"/>
              </w:rPr>
              <w:t>er #131775. SCCBHSD also is approved by CA Consortium of Addiction Programs and Professionals (CCAPP) and CA Association for Alcohol/Drug Educators (CAADE) and the Board of Registered Nursing (BRN) to provide CEUs. Lunch and scheduled breaks during the tra</w:t>
            </w:r>
            <w:r>
              <w:rPr>
                <w:b/>
                <w:i/>
                <w:sz w:val="18"/>
              </w:rPr>
              <w:t>ining do not count toward CEU credit.</w:t>
            </w:r>
          </w:p>
        </w:tc>
      </w:tr>
      <w:tr w:rsidR="00191FF8">
        <w:trPr>
          <w:trHeight w:hRule="exact" w:val="4429"/>
        </w:trPr>
        <w:tc>
          <w:tcPr>
            <w:tcW w:w="4416" w:type="dxa"/>
            <w:vMerge/>
          </w:tcPr>
          <w:p w:rsidR="00191FF8" w:rsidRDefault="00191FF8"/>
        </w:tc>
        <w:tc>
          <w:tcPr>
            <w:tcW w:w="6275" w:type="dxa"/>
          </w:tcPr>
          <w:p w:rsidR="00191FF8" w:rsidRDefault="00BC1B45">
            <w:pPr>
              <w:pStyle w:val="TableParagraph"/>
              <w:tabs>
                <w:tab w:val="left" w:pos="2289"/>
              </w:tabs>
              <w:spacing w:before="79"/>
              <w:rPr>
                <w:b/>
                <w:sz w:val="19"/>
              </w:rPr>
            </w:pPr>
            <w:r>
              <w:rPr>
                <w:b/>
                <w:sz w:val="19"/>
              </w:rPr>
              <w:t>COURSE</w:t>
            </w:r>
            <w:r>
              <w:rPr>
                <w:b/>
                <w:spacing w:val="17"/>
                <w:sz w:val="19"/>
              </w:rPr>
              <w:t xml:space="preserve"> </w:t>
            </w:r>
            <w:r>
              <w:rPr>
                <w:b/>
                <w:spacing w:val="2"/>
                <w:sz w:val="19"/>
              </w:rPr>
              <w:t>OBJECTIVES:</w:t>
            </w:r>
            <w:r>
              <w:rPr>
                <w:b/>
                <w:spacing w:val="2"/>
                <w:sz w:val="19"/>
              </w:rPr>
              <w:tab/>
            </w:r>
            <w:r>
              <w:rPr>
                <w:b/>
                <w:sz w:val="19"/>
              </w:rPr>
              <w:t>Participants will</w:t>
            </w:r>
            <w:r>
              <w:rPr>
                <w:b/>
                <w:spacing w:val="45"/>
                <w:sz w:val="19"/>
              </w:rPr>
              <w:t xml:space="preserve"> </w:t>
            </w:r>
            <w:r>
              <w:rPr>
                <w:b/>
                <w:sz w:val="19"/>
              </w:rPr>
              <w:t>:</w:t>
            </w:r>
          </w:p>
          <w:p w:rsidR="00191FF8" w:rsidRDefault="00191FF8">
            <w:pPr>
              <w:pStyle w:val="TableParagraph"/>
              <w:spacing w:before="3"/>
              <w:ind w:left="0"/>
              <w:rPr>
                <w:b/>
                <w:sz w:val="23"/>
              </w:rPr>
            </w:pPr>
          </w:p>
          <w:p w:rsidR="00191FF8" w:rsidRDefault="00BC1B45">
            <w:pPr>
              <w:pStyle w:val="TableParagraph"/>
              <w:numPr>
                <w:ilvl w:val="0"/>
                <w:numId w:val="1"/>
              </w:numPr>
              <w:tabs>
                <w:tab w:val="left" w:pos="416"/>
                <w:tab w:val="left" w:pos="417"/>
              </w:tabs>
              <w:spacing w:line="290" w:lineRule="exact"/>
              <w:rPr>
                <w:sz w:val="18"/>
              </w:rPr>
            </w:pPr>
            <w:r>
              <w:rPr>
                <w:sz w:val="18"/>
              </w:rPr>
              <w:t>Describe</w:t>
            </w:r>
            <w:r>
              <w:rPr>
                <w:spacing w:val="-20"/>
                <w:sz w:val="18"/>
              </w:rPr>
              <w:t xml:space="preserve"> </w:t>
            </w:r>
            <w:r>
              <w:rPr>
                <w:sz w:val="18"/>
              </w:rPr>
              <w:t>the</w:t>
            </w:r>
            <w:r>
              <w:rPr>
                <w:spacing w:val="-20"/>
                <w:sz w:val="18"/>
              </w:rPr>
              <w:t xml:space="preserve"> </w:t>
            </w:r>
            <w:r>
              <w:rPr>
                <w:spacing w:val="3"/>
                <w:sz w:val="18"/>
              </w:rPr>
              <w:t>key</w:t>
            </w:r>
            <w:r>
              <w:rPr>
                <w:spacing w:val="-15"/>
                <w:sz w:val="18"/>
              </w:rPr>
              <w:t xml:space="preserve"> </w:t>
            </w:r>
            <w:r>
              <w:rPr>
                <w:sz w:val="18"/>
              </w:rPr>
              <w:t>attachment</w:t>
            </w:r>
            <w:r>
              <w:rPr>
                <w:spacing w:val="-17"/>
                <w:sz w:val="18"/>
              </w:rPr>
              <w:t xml:space="preserve"> </w:t>
            </w:r>
            <w:r>
              <w:rPr>
                <w:sz w:val="18"/>
              </w:rPr>
              <w:t>theories,</w:t>
            </w:r>
            <w:r>
              <w:rPr>
                <w:spacing w:val="-13"/>
                <w:sz w:val="18"/>
              </w:rPr>
              <w:t xml:space="preserve"> </w:t>
            </w:r>
            <w:r>
              <w:rPr>
                <w:sz w:val="18"/>
              </w:rPr>
              <w:t>theorists,</w:t>
            </w:r>
            <w:r>
              <w:rPr>
                <w:spacing w:val="-13"/>
                <w:sz w:val="18"/>
              </w:rPr>
              <w:t xml:space="preserve"> </w:t>
            </w:r>
            <w:r>
              <w:rPr>
                <w:sz w:val="18"/>
              </w:rPr>
              <w:t>and</w:t>
            </w:r>
            <w:r>
              <w:rPr>
                <w:spacing w:val="-7"/>
                <w:sz w:val="18"/>
              </w:rPr>
              <w:t xml:space="preserve"> </w:t>
            </w:r>
            <w:r>
              <w:rPr>
                <w:sz w:val="18"/>
              </w:rPr>
              <w:t>perspective</w:t>
            </w:r>
          </w:p>
          <w:p w:rsidR="00191FF8" w:rsidRDefault="00BC1B45">
            <w:pPr>
              <w:pStyle w:val="TableParagraph"/>
              <w:spacing w:line="235" w:lineRule="exact"/>
              <w:ind w:left="416"/>
              <w:rPr>
                <w:sz w:val="18"/>
              </w:rPr>
            </w:pPr>
            <w:r>
              <w:rPr>
                <w:sz w:val="18"/>
              </w:rPr>
              <w:t>List and describe the attachment categories described by Mary Ainsworth</w:t>
            </w:r>
          </w:p>
          <w:p w:rsidR="00BC1B45" w:rsidRDefault="00BC1B45">
            <w:pPr>
              <w:pStyle w:val="TableParagraph"/>
              <w:numPr>
                <w:ilvl w:val="0"/>
                <w:numId w:val="1"/>
              </w:numPr>
              <w:tabs>
                <w:tab w:val="left" w:pos="416"/>
                <w:tab w:val="left" w:pos="417"/>
              </w:tabs>
              <w:spacing w:before="62" w:line="240" w:lineRule="exact"/>
              <w:ind w:right="338"/>
              <w:rPr>
                <w:sz w:val="18"/>
              </w:rPr>
            </w:pPr>
            <w:r>
              <w:rPr>
                <w:sz w:val="18"/>
              </w:rPr>
              <w:t>Describe</w:t>
            </w:r>
            <w:r>
              <w:rPr>
                <w:spacing w:val="-15"/>
                <w:sz w:val="18"/>
              </w:rPr>
              <w:t xml:space="preserve"> </w:t>
            </w:r>
            <w:r>
              <w:rPr>
                <w:sz w:val="18"/>
              </w:rPr>
              <w:t>the</w:t>
            </w:r>
            <w:r>
              <w:rPr>
                <w:spacing w:val="-15"/>
                <w:sz w:val="18"/>
              </w:rPr>
              <w:t xml:space="preserve"> </w:t>
            </w:r>
            <w:r>
              <w:rPr>
                <w:sz w:val="18"/>
              </w:rPr>
              <w:t>work</w:t>
            </w:r>
            <w:r>
              <w:rPr>
                <w:spacing w:val="3"/>
                <w:sz w:val="18"/>
              </w:rPr>
              <w:t xml:space="preserve"> </w:t>
            </w:r>
            <w:r>
              <w:rPr>
                <w:sz w:val="18"/>
              </w:rPr>
              <w:t>of</w:t>
            </w:r>
            <w:r>
              <w:rPr>
                <w:spacing w:val="-8"/>
                <w:sz w:val="18"/>
              </w:rPr>
              <w:t xml:space="preserve"> </w:t>
            </w:r>
            <w:r>
              <w:rPr>
                <w:sz w:val="18"/>
              </w:rPr>
              <w:t>Howes</w:t>
            </w:r>
            <w:r>
              <w:rPr>
                <w:spacing w:val="-12"/>
                <w:sz w:val="18"/>
              </w:rPr>
              <w:t xml:space="preserve"> </w:t>
            </w:r>
            <w:r>
              <w:rPr>
                <w:sz w:val="18"/>
              </w:rPr>
              <w:t>in</w:t>
            </w:r>
            <w:r>
              <w:rPr>
                <w:spacing w:val="-9"/>
                <w:sz w:val="18"/>
              </w:rPr>
              <w:t xml:space="preserve"> </w:t>
            </w:r>
            <w:r>
              <w:rPr>
                <w:sz w:val="18"/>
              </w:rPr>
              <w:t>understanding</w:t>
            </w:r>
            <w:r>
              <w:rPr>
                <w:spacing w:val="-12"/>
                <w:sz w:val="18"/>
              </w:rPr>
              <w:t xml:space="preserve"> </w:t>
            </w:r>
            <w:r>
              <w:rPr>
                <w:sz w:val="18"/>
              </w:rPr>
              <w:t>early</w:t>
            </w:r>
            <w:r>
              <w:rPr>
                <w:spacing w:val="-9"/>
                <w:sz w:val="18"/>
              </w:rPr>
              <w:t xml:space="preserve"> </w:t>
            </w:r>
            <w:r>
              <w:rPr>
                <w:sz w:val="18"/>
              </w:rPr>
              <w:t>childhood</w:t>
            </w:r>
          </w:p>
          <w:p w:rsidR="00191FF8" w:rsidRDefault="00BC1B45" w:rsidP="00BC1B45">
            <w:pPr>
              <w:pStyle w:val="TableParagraph"/>
              <w:tabs>
                <w:tab w:val="left" w:pos="416"/>
                <w:tab w:val="left" w:pos="417"/>
              </w:tabs>
              <w:spacing w:line="240" w:lineRule="exact"/>
              <w:ind w:left="416" w:right="338"/>
              <w:rPr>
                <w:sz w:val="18"/>
              </w:rPr>
            </w:pPr>
            <w:r>
              <w:rPr>
                <w:spacing w:val="28"/>
                <w:sz w:val="18"/>
              </w:rPr>
              <w:t xml:space="preserve"> </w:t>
            </w:r>
            <w:r>
              <w:rPr>
                <w:spacing w:val="2"/>
                <w:sz w:val="18"/>
              </w:rPr>
              <w:t>attach</w:t>
            </w:r>
            <w:r>
              <w:rPr>
                <w:sz w:val="18"/>
              </w:rPr>
              <w:t>ment in group</w:t>
            </w:r>
            <w:r>
              <w:rPr>
                <w:spacing w:val="-35"/>
                <w:sz w:val="18"/>
              </w:rPr>
              <w:t xml:space="preserve"> </w:t>
            </w:r>
            <w:r>
              <w:rPr>
                <w:sz w:val="18"/>
              </w:rPr>
              <w:t>settings</w:t>
            </w:r>
          </w:p>
          <w:p w:rsidR="00191FF8" w:rsidRDefault="00BC1B45">
            <w:pPr>
              <w:pStyle w:val="TableParagraph"/>
              <w:numPr>
                <w:ilvl w:val="0"/>
                <w:numId w:val="1"/>
              </w:numPr>
              <w:tabs>
                <w:tab w:val="left" w:pos="416"/>
                <w:tab w:val="left" w:pos="417"/>
              </w:tabs>
              <w:spacing w:before="148" w:line="240" w:lineRule="exact"/>
              <w:ind w:right="412"/>
              <w:rPr>
                <w:sz w:val="18"/>
              </w:rPr>
            </w:pPr>
            <w:r>
              <w:rPr>
                <w:sz w:val="18"/>
              </w:rPr>
              <w:t>Discuss</w:t>
            </w:r>
            <w:r>
              <w:rPr>
                <w:spacing w:val="-11"/>
                <w:sz w:val="18"/>
              </w:rPr>
              <w:t xml:space="preserve"> </w:t>
            </w:r>
            <w:r>
              <w:rPr>
                <w:sz w:val="18"/>
              </w:rPr>
              <w:t>the</w:t>
            </w:r>
            <w:r>
              <w:rPr>
                <w:spacing w:val="-14"/>
                <w:sz w:val="18"/>
              </w:rPr>
              <w:t xml:space="preserve"> </w:t>
            </w:r>
            <w:r>
              <w:rPr>
                <w:sz w:val="18"/>
              </w:rPr>
              <w:t>implications</w:t>
            </w:r>
            <w:r>
              <w:rPr>
                <w:spacing w:val="-11"/>
                <w:sz w:val="18"/>
              </w:rPr>
              <w:t xml:space="preserve"> </w:t>
            </w:r>
            <w:r>
              <w:rPr>
                <w:sz w:val="18"/>
              </w:rPr>
              <w:t>of</w:t>
            </w:r>
            <w:r>
              <w:rPr>
                <w:spacing w:val="-6"/>
                <w:sz w:val="18"/>
              </w:rPr>
              <w:t xml:space="preserve"> </w:t>
            </w:r>
            <w:r>
              <w:rPr>
                <w:sz w:val="18"/>
              </w:rPr>
              <w:t>a</w:t>
            </w:r>
            <w:r>
              <w:rPr>
                <w:spacing w:val="-11"/>
                <w:sz w:val="18"/>
              </w:rPr>
              <w:t xml:space="preserve"> </w:t>
            </w:r>
            <w:r>
              <w:rPr>
                <w:sz w:val="18"/>
              </w:rPr>
              <w:t>professional’s</w:t>
            </w:r>
            <w:r>
              <w:rPr>
                <w:spacing w:val="-11"/>
                <w:sz w:val="18"/>
              </w:rPr>
              <w:t xml:space="preserve"> </w:t>
            </w:r>
            <w:r>
              <w:rPr>
                <w:sz w:val="18"/>
              </w:rPr>
              <w:t>adult</w:t>
            </w:r>
            <w:r>
              <w:rPr>
                <w:spacing w:val="-10"/>
                <w:sz w:val="18"/>
              </w:rPr>
              <w:t xml:space="preserve"> </w:t>
            </w:r>
            <w:r>
              <w:rPr>
                <w:sz w:val="18"/>
              </w:rPr>
              <w:t>attachment</w:t>
            </w:r>
            <w:r>
              <w:rPr>
                <w:spacing w:val="-10"/>
                <w:sz w:val="18"/>
              </w:rPr>
              <w:t xml:space="preserve"> </w:t>
            </w:r>
            <w:r>
              <w:rPr>
                <w:sz w:val="18"/>
              </w:rPr>
              <w:t>status</w:t>
            </w:r>
            <w:r>
              <w:rPr>
                <w:spacing w:val="-11"/>
                <w:sz w:val="18"/>
              </w:rPr>
              <w:t xml:space="preserve"> </w:t>
            </w:r>
            <w:r>
              <w:rPr>
                <w:sz w:val="18"/>
              </w:rPr>
              <w:t>in providing clinical</w:t>
            </w:r>
            <w:r>
              <w:rPr>
                <w:spacing w:val="-17"/>
                <w:sz w:val="18"/>
              </w:rPr>
              <w:t xml:space="preserve"> </w:t>
            </w:r>
            <w:r>
              <w:rPr>
                <w:sz w:val="18"/>
              </w:rPr>
              <w:t>services</w:t>
            </w:r>
          </w:p>
          <w:p w:rsidR="00191FF8" w:rsidRDefault="00BC1B45">
            <w:pPr>
              <w:pStyle w:val="TableParagraph"/>
              <w:numPr>
                <w:ilvl w:val="0"/>
                <w:numId w:val="1"/>
              </w:numPr>
              <w:tabs>
                <w:tab w:val="left" w:pos="416"/>
                <w:tab w:val="left" w:pos="417"/>
              </w:tabs>
              <w:spacing w:before="114"/>
              <w:rPr>
                <w:sz w:val="18"/>
              </w:rPr>
            </w:pPr>
            <w:r>
              <w:rPr>
                <w:sz w:val="18"/>
              </w:rPr>
              <w:t>Explain</w:t>
            </w:r>
            <w:r>
              <w:rPr>
                <w:spacing w:val="-8"/>
                <w:sz w:val="18"/>
              </w:rPr>
              <w:t xml:space="preserve"> </w:t>
            </w:r>
            <w:r>
              <w:rPr>
                <w:sz w:val="18"/>
              </w:rPr>
              <w:t>how</w:t>
            </w:r>
            <w:r>
              <w:rPr>
                <w:spacing w:val="-6"/>
                <w:sz w:val="18"/>
              </w:rPr>
              <w:t xml:space="preserve"> </w:t>
            </w:r>
            <w:r>
              <w:rPr>
                <w:sz w:val="18"/>
              </w:rPr>
              <w:t>the</w:t>
            </w:r>
            <w:r>
              <w:rPr>
                <w:spacing w:val="-14"/>
                <w:sz w:val="18"/>
              </w:rPr>
              <w:t xml:space="preserve"> </w:t>
            </w:r>
            <w:r>
              <w:rPr>
                <w:sz w:val="18"/>
              </w:rPr>
              <w:t>concepts</w:t>
            </w:r>
            <w:r>
              <w:rPr>
                <w:spacing w:val="-11"/>
                <w:sz w:val="18"/>
              </w:rPr>
              <w:t xml:space="preserve"> </w:t>
            </w:r>
            <w:r>
              <w:rPr>
                <w:sz w:val="18"/>
              </w:rPr>
              <w:t>of</w:t>
            </w:r>
            <w:r>
              <w:rPr>
                <w:spacing w:val="-7"/>
                <w:sz w:val="18"/>
              </w:rPr>
              <w:t xml:space="preserve"> </w:t>
            </w:r>
            <w:r>
              <w:rPr>
                <w:sz w:val="18"/>
              </w:rPr>
              <w:t>attachment,</w:t>
            </w:r>
            <w:r>
              <w:rPr>
                <w:spacing w:val="-5"/>
                <w:sz w:val="18"/>
              </w:rPr>
              <w:t xml:space="preserve"> </w:t>
            </w:r>
            <w:r>
              <w:rPr>
                <w:sz w:val="18"/>
              </w:rPr>
              <w:t>bonding</w:t>
            </w:r>
            <w:r>
              <w:rPr>
                <w:spacing w:val="-11"/>
                <w:sz w:val="18"/>
              </w:rPr>
              <w:t xml:space="preserve"> </w:t>
            </w:r>
            <w:r>
              <w:rPr>
                <w:sz w:val="18"/>
              </w:rPr>
              <w:t>and</w:t>
            </w:r>
            <w:r>
              <w:rPr>
                <w:spacing w:val="-11"/>
                <w:sz w:val="18"/>
              </w:rPr>
              <w:t xml:space="preserve"> </w:t>
            </w:r>
            <w:r>
              <w:rPr>
                <w:sz w:val="18"/>
              </w:rPr>
              <w:t>love</w:t>
            </w:r>
            <w:r>
              <w:rPr>
                <w:spacing w:val="-14"/>
                <w:sz w:val="18"/>
              </w:rPr>
              <w:t xml:space="preserve"> </w:t>
            </w:r>
            <w:r>
              <w:rPr>
                <w:sz w:val="18"/>
              </w:rPr>
              <w:t>differ</w:t>
            </w:r>
          </w:p>
          <w:p w:rsidR="00191FF8" w:rsidRDefault="00BC1B45">
            <w:pPr>
              <w:pStyle w:val="TableParagraph"/>
              <w:numPr>
                <w:ilvl w:val="0"/>
                <w:numId w:val="1"/>
              </w:numPr>
              <w:tabs>
                <w:tab w:val="left" w:pos="416"/>
                <w:tab w:val="left" w:pos="417"/>
              </w:tabs>
              <w:spacing w:before="144" w:line="240" w:lineRule="exact"/>
              <w:ind w:right="231"/>
              <w:rPr>
                <w:sz w:val="18"/>
              </w:rPr>
            </w:pPr>
            <w:r>
              <w:rPr>
                <w:sz w:val="18"/>
              </w:rPr>
              <w:t>Discuss</w:t>
            </w:r>
            <w:r>
              <w:rPr>
                <w:spacing w:val="-10"/>
                <w:sz w:val="18"/>
              </w:rPr>
              <w:t xml:space="preserve"> </w:t>
            </w:r>
            <w:r>
              <w:rPr>
                <w:sz w:val="18"/>
              </w:rPr>
              <w:t>the</w:t>
            </w:r>
            <w:r>
              <w:rPr>
                <w:spacing w:val="-13"/>
                <w:sz w:val="18"/>
              </w:rPr>
              <w:t xml:space="preserve"> </w:t>
            </w:r>
            <w:r>
              <w:rPr>
                <w:sz w:val="18"/>
              </w:rPr>
              <w:t>implications</w:t>
            </w:r>
            <w:r>
              <w:rPr>
                <w:spacing w:val="-10"/>
                <w:sz w:val="18"/>
              </w:rPr>
              <w:t xml:space="preserve"> </w:t>
            </w:r>
            <w:r>
              <w:rPr>
                <w:sz w:val="18"/>
              </w:rPr>
              <w:t>of</w:t>
            </w:r>
            <w:r>
              <w:rPr>
                <w:spacing w:val="-6"/>
                <w:sz w:val="18"/>
              </w:rPr>
              <w:t xml:space="preserve"> </w:t>
            </w:r>
            <w:r>
              <w:rPr>
                <w:sz w:val="18"/>
              </w:rPr>
              <w:t>using</w:t>
            </w:r>
            <w:r>
              <w:rPr>
                <w:spacing w:val="-10"/>
                <w:sz w:val="18"/>
              </w:rPr>
              <w:t xml:space="preserve"> </w:t>
            </w:r>
            <w:r>
              <w:rPr>
                <w:sz w:val="18"/>
              </w:rPr>
              <w:t>the</w:t>
            </w:r>
            <w:r>
              <w:rPr>
                <w:spacing w:val="-13"/>
                <w:sz w:val="18"/>
              </w:rPr>
              <w:t xml:space="preserve"> </w:t>
            </w:r>
            <w:r>
              <w:rPr>
                <w:spacing w:val="-3"/>
                <w:sz w:val="18"/>
              </w:rPr>
              <w:t>term</w:t>
            </w:r>
            <w:r>
              <w:rPr>
                <w:sz w:val="18"/>
              </w:rPr>
              <w:t xml:space="preserve"> “attachment”</w:t>
            </w:r>
            <w:r>
              <w:rPr>
                <w:spacing w:val="-3"/>
                <w:sz w:val="18"/>
              </w:rPr>
              <w:t xml:space="preserve"> </w:t>
            </w:r>
            <w:r>
              <w:rPr>
                <w:sz w:val="18"/>
              </w:rPr>
              <w:t>in</w:t>
            </w:r>
            <w:r>
              <w:rPr>
                <w:spacing w:val="-7"/>
                <w:sz w:val="18"/>
              </w:rPr>
              <w:t xml:space="preserve"> </w:t>
            </w:r>
            <w:r>
              <w:rPr>
                <w:sz w:val="18"/>
              </w:rPr>
              <w:t>clinical</w:t>
            </w:r>
            <w:r>
              <w:rPr>
                <w:spacing w:val="-8"/>
                <w:sz w:val="18"/>
              </w:rPr>
              <w:t xml:space="preserve"> </w:t>
            </w:r>
            <w:r>
              <w:rPr>
                <w:sz w:val="18"/>
              </w:rPr>
              <w:t>notes and legal</w:t>
            </w:r>
            <w:r>
              <w:rPr>
                <w:spacing w:val="-31"/>
                <w:sz w:val="18"/>
              </w:rPr>
              <w:t xml:space="preserve"> </w:t>
            </w:r>
            <w:r>
              <w:rPr>
                <w:sz w:val="18"/>
              </w:rPr>
              <w:t>reports</w:t>
            </w:r>
          </w:p>
          <w:p w:rsidR="00191FF8" w:rsidRDefault="00BC1B45">
            <w:pPr>
              <w:pStyle w:val="TableParagraph"/>
              <w:spacing w:before="29" w:line="464" w:lineRule="exact"/>
              <w:ind w:left="1070" w:right="969" w:hanging="105"/>
              <w:rPr>
                <w:b/>
                <w:sz w:val="18"/>
              </w:rPr>
            </w:pPr>
            <w:r>
              <w:rPr>
                <w:b/>
                <w:sz w:val="18"/>
              </w:rPr>
              <w:t xml:space="preserve">Target Audience: BHSD staff and contract agencies Our trainings are free-register online on </w:t>
            </w:r>
            <w:proofErr w:type="spellStart"/>
            <w:r>
              <w:rPr>
                <w:b/>
                <w:sz w:val="18"/>
              </w:rPr>
              <w:t>sccLearn</w:t>
            </w:r>
            <w:proofErr w:type="spellEnd"/>
          </w:p>
        </w:tc>
      </w:tr>
    </w:tbl>
    <w:p w:rsidR="00191FF8" w:rsidRDefault="00BC1B45">
      <w:pPr>
        <w:spacing w:before="57" w:line="368" w:lineRule="exact"/>
        <w:ind w:left="5597" w:right="1211"/>
        <w:jc w:val="center"/>
        <w:rPr>
          <w:b/>
          <w:sz w:val="28"/>
        </w:rPr>
      </w:pPr>
      <w:r>
        <w:rPr>
          <w:noProof/>
        </w:rPr>
        <w:drawing>
          <wp:anchor distT="0" distB="0" distL="0" distR="0" simplePos="0" relativeHeight="268432655" behindDoc="1" locked="0" layoutInCell="1" allowOverlap="1">
            <wp:simplePos x="0" y="0"/>
            <wp:positionH relativeFrom="page">
              <wp:posOffset>485499</wp:posOffset>
            </wp:positionH>
            <wp:positionV relativeFrom="paragraph">
              <wp:posOffset>-18848</wp:posOffset>
            </wp:positionV>
            <wp:extent cx="2804295" cy="1548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04295" cy="1548644"/>
                    </a:xfrm>
                    <a:prstGeom prst="rect">
                      <a:avLst/>
                    </a:prstGeom>
                  </pic:spPr>
                </pic:pic>
              </a:graphicData>
            </a:graphic>
          </wp:anchor>
        </w:drawing>
      </w:r>
      <w:r>
        <w:rPr>
          <w:b/>
          <w:sz w:val="28"/>
        </w:rPr>
        <w:t>February 1, 2019</w:t>
      </w:r>
    </w:p>
    <w:p w:rsidR="00191FF8" w:rsidRDefault="00BC1B45">
      <w:pPr>
        <w:spacing w:line="244" w:lineRule="auto"/>
        <w:ind w:left="6097" w:right="1218" w:firstLine="698"/>
        <w:rPr>
          <w:b/>
        </w:rPr>
      </w:pPr>
      <w:r>
        <w:rPr>
          <w:b/>
        </w:rPr>
        <w:t xml:space="preserve">9:00 </w:t>
      </w:r>
      <w:r>
        <w:rPr>
          <w:b/>
          <w:spacing w:val="-3"/>
        </w:rPr>
        <w:t xml:space="preserve">am-4:30 pm Registration </w:t>
      </w:r>
      <w:r>
        <w:rPr>
          <w:b/>
          <w:spacing w:val="-4"/>
        </w:rPr>
        <w:t xml:space="preserve">begins </w:t>
      </w:r>
      <w:r>
        <w:rPr>
          <w:b/>
        </w:rPr>
        <w:t xml:space="preserve">at 8:30 </w:t>
      </w:r>
      <w:r>
        <w:rPr>
          <w:b/>
          <w:spacing w:val="-9"/>
        </w:rPr>
        <w:t>am</w:t>
      </w:r>
    </w:p>
    <w:p w:rsidR="00191FF8" w:rsidRDefault="00BC1B45">
      <w:pPr>
        <w:spacing w:before="239" w:line="368" w:lineRule="exact"/>
        <w:ind w:left="5609" w:right="1211"/>
        <w:jc w:val="center"/>
        <w:rPr>
          <w:b/>
          <w:sz w:val="28"/>
        </w:rPr>
      </w:pPr>
      <w:r>
        <w:rPr>
          <w:b/>
          <w:sz w:val="28"/>
        </w:rPr>
        <w:t>Learning Partnership</w:t>
      </w:r>
    </w:p>
    <w:p w:rsidR="00191FF8" w:rsidRDefault="00BC1B45">
      <w:pPr>
        <w:spacing w:line="244" w:lineRule="auto"/>
        <w:ind w:left="5951" w:right="1550"/>
        <w:jc w:val="center"/>
        <w:rPr>
          <w:b/>
        </w:rPr>
      </w:pPr>
      <w:r>
        <w:rPr>
          <w:b/>
        </w:rPr>
        <w:t>1075 E. Santa Clara St., 2nd Floor San Jose, CA 95116</w:t>
      </w:r>
    </w:p>
    <w:p w:rsidR="00191FF8" w:rsidRDefault="00191FF8">
      <w:pPr>
        <w:spacing w:before="5"/>
        <w:rPr>
          <w:b/>
        </w:rPr>
      </w:pPr>
    </w:p>
    <w:p w:rsidR="00191FF8" w:rsidRDefault="00191FF8">
      <w:pPr>
        <w:ind w:left="1194" w:right="1211"/>
        <w:jc w:val="center"/>
        <w:rPr>
          <w:rFonts w:ascii="Times New Roman"/>
          <w:sz w:val="20"/>
        </w:rPr>
      </w:pPr>
    </w:p>
    <w:sectPr w:rsidR="00191FF8">
      <w:pgSz w:w="12240" w:h="20160"/>
      <w:pgMar w:top="1940" w:right="6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BDC"/>
    <w:multiLevelType w:val="hybridMultilevel"/>
    <w:tmpl w:val="6410190A"/>
    <w:lvl w:ilvl="0" w:tplc="132A8C58">
      <w:numFmt w:val="bullet"/>
      <w:lvlText w:val=""/>
      <w:lvlJc w:val="left"/>
      <w:pPr>
        <w:ind w:left="416" w:hanging="357"/>
      </w:pPr>
      <w:rPr>
        <w:rFonts w:ascii="Symbol" w:eastAsia="Symbol" w:hAnsi="Symbol" w:cs="Symbol" w:hint="default"/>
        <w:w w:val="99"/>
        <w:sz w:val="24"/>
        <w:szCs w:val="24"/>
      </w:rPr>
    </w:lvl>
    <w:lvl w:ilvl="1" w:tplc="A9B058D2">
      <w:numFmt w:val="bullet"/>
      <w:lvlText w:val="•"/>
      <w:lvlJc w:val="left"/>
      <w:pPr>
        <w:ind w:left="1004" w:hanging="357"/>
      </w:pPr>
      <w:rPr>
        <w:rFonts w:hint="default"/>
      </w:rPr>
    </w:lvl>
    <w:lvl w:ilvl="2" w:tplc="D682D3A2">
      <w:numFmt w:val="bullet"/>
      <w:lvlText w:val="•"/>
      <w:lvlJc w:val="left"/>
      <w:pPr>
        <w:ind w:left="1587" w:hanging="357"/>
      </w:pPr>
      <w:rPr>
        <w:rFonts w:hint="default"/>
      </w:rPr>
    </w:lvl>
    <w:lvl w:ilvl="3" w:tplc="A6767F8A">
      <w:numFmt w:val="bullet"/>
      <w:lvlText w:val="•"/>
      <w:lvlJc w:val="left"/>
      <w:pPr>
        <w:ind w:left="2171" w:hanging="357"/>
      </w:pPr>
      <w:rPr>
        <w:rFonts w:hint="default"/>
      </w:rPr>
    </w:lvl>
    <w:lvl w:ilvl="4" w:tplc="38384B1C">
      <w:numFmt w:val="bullet"/>
      <w:lvlText w:val="•"/>
      <w:lvlJc w:val="left"/>
      <w:pPr>
        <w:ind w:left="2755" w:hanging="357"/>
      </w:pPr>
      <w:rPr>
        <w:rFonts w:hint="default"/>
      </w:rPr>
    </w:lvl>
    <w:lvl w:ilvl="5" w:tplc="EA987E18">
      <w:numFmt w:val="bullet"/>
      <w:lvlText w:val="•"/>
      <w:lvlJc w:val="left"/>
      <w:pPr>
        <w:ind w:left="3339" w:hanging="357"/>
      </w:pPr>
      <w:rPr>
        <w:rFonts w:hint="default"/>
      </w:rPr>
    </w:lvl>
    <w:lvl w:ilvl="6" w:tplc="D6BEBC18">
      <w:numFmt w:val="bullet"/>
      <w:lvlText w:val="•"/>
      <w:lvlJc w:val="left"/>
      <w:pPr>
        <w:ind w:left="3923" w:hanging="357"/>
      </w:pPr>
      <w:rPr>
        <w:rFonts w:hint="default"/>
      </w:rPr>
    </w:lvl>
    <w:lvl w:ilvl="7" w:tplc="854AE95E">
      <w:numFmt w:val="bullet"/>
      <w:lvlText w:val="•"/>
      <w:lvlJc w:val="left"/>
      <w:pPr>
        <w:ind w:left="4507" w:hanging="357"/>
      </w:pPr>
      <w:rPr>
        <w:rFonts w:hint="default"/>
      </w:rPr>
    </w:lvl>
    <w:lvl w:ilvl="8" w:tplc="42062CAE">
      <w:numFmt w:val="bullet"/>
      <w:lvlText w:val="•"/>
      <w:lvlJc w:val="left"/>
      <w:pPr>
        <w:ind w:left="5091"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91FF8"/>
    <w:rsid w:val="00191FF8"/>
    <w:rsid w:val="00512642"/>
    <w:rsid w:val="00BC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F63AB-7527-44F7-90D9-2CAE8C75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
    </w:pPr>
  </w:style>
  <w:style w:type="paragraph" w:styleId="BalloonText">
    <w:name w:val="Balloon Text"/>
    <w:basedOn w:val="Normal"/>
    <w:link w:val="BalloonTextChar"/>
    <w:uiPriority w:val="99"/>
    <w:semiHidden/>
    <w:unhideWhenUsed/>
    <w:rsid w:val="00BC1B45"/>
    <w:rPr>
      <w:sz w:val="18"/>
      <w:szCs w:val="18"/>
    </w:rPr>
  </w:style>
  <w:style w:type="character" w:customStyle="1" w:styleId="BalloonTextChar">
    <w:name w:val="Balloon Text Char"/>
    <w:basedOn w:val="DefaultParagraphFont"/>
    <w:link w:val="BalloonText"/>
    <w:uiPriority w:val="99"/>
    <w:semiHidden/>
    <w:rsid w:val="00BC1B45"/>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5 Kids Santa CLara COunty</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SCVHHS</dc:creator>
  <cp:lastModifiedBy>Martha Nevarez</cp:lastModifiedBy>
  <cp:revision>3</cp:revision>
  <cp:lastPrinted>2019-01-07T19:47:00Z</cp:lastPrinted>
  <dcterms:created xsi:type="dcterms:W3CDTF">2019-01-07T11:44:00Z</dcterms:created>
  <dcterms:modified xsi:type="dcterms:W3CDTF">2019-01-07T19:47:00Z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Microsoft® Publisher 2013</vt:lpwstr>
  </property>
  <property fmtid="{D5CDD505-2E9C-101B-9397-08002B2CF9AE}" pid="4" name="LastSaved">
    <vt:filetime>2019-01-07T00:00:00Z</vt:filetime>
  </property>
</Properties>
</file>