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0800"/>
      </w:tblGrid>
      <w:tr w:rsidR="009F278D" w14:paraId="2D43BE07" w14:textId="77777777" w:rsidTr="009F278D">
        <w:trPr>
          <w:jc w:val="center"/>
        </w:trPr>
        <w:tc>
          <w:tcPr>
            <w:tcW w:w="0" w:type="auto"/>
            <w:shd w:val="clear" w:color="auto" w:fill="FFB009"/>
            <w:hideMark/>
          </w:tcPr>
          <w:tbl>
            <w:tblPr>
              <w:tblW w:w="5000" w:type="pct"/>
              <w:jc w:val="center"/>
              <w:shd w:val="clear" w:color="auto" w:fill="FFB009"/>
              <w:tblCellMar>
                <w:left w:w="0" w:type="dxa"/>
                <w:right w:w="0" w:type="dxa"/>
              </w:tblCellMar>
              <w:tblLook w:val="04A0" w:firstRow="1" w:lastRow="0" w:firstColumn="1" w:lastColumn="0" w:noHBand="0" w:noVBand="1"/>
            </w:tblPr>
            <w:tblGrid>
              <w:gridCol w:w="10800"/>
            </w:tblGrid>
            <w:tr w:rsidR="009F278D" w14:paraId="2F1B9F4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9F278D" w14:paraId="0E13D27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F278D" w14:paraId="01C3C85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F278D" w14:paraId="4B728CAE" w14:textId="77777777">
                                <w:trPr>
                                  <w:jc w:val="center"/>
                                </w:trPr>
                                <w:tc>
                                  <w:tcPr>
                                    <w:tcW w:w="5000" w:type="pct"/>
                                    <w:tcMar>
                                      <w:top w:w="0" w:type="dxa"/>
                                      <w:left w:w="0" w:type="dxa"/>
                                      <w:bottom w:w="3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9F278D" w14:paraId="63CEE2A6" w14:textId="77777777">
                                      <w:trPr>
                                        <w:trHeight w:val="15"/>
                                        <w:jc w:val="center"/>
                                      </w:trPr>
                                      <w:tc>
                                        <w:tcPr>
                                          <w:tcW w:w="0" w:type="auto"/>
                                          <w:shd w:val="clear" w:color="auto" w:fill="FFB009"/>
                                          <w:tcMar>
                                            <w:top w:w="0" w:type="dxa"/>
                                            <w:left w:w="0" w:type="dxa"/>
                                            <w:bottom w:w="60" w:type="dxa"/>
                                            <w:right w:w="0" w:type="dxa"/>
                                          </w:tcMar>
                                          <w:vAlign w:val="center"/>
                                          <w:hideMark/>
                                        </w:tcPr>
                                        <w:p w14:paraId="2AFA6A5B" w14:textId="4738A10E" w:rsidR="009F278D" w:rsidRDefault="009F278D">
                                          <w:pPr>
                                            <w:pStyle w:val="xmsonormal"/>
                                            <w:jc w:val="center"/>
                                          </w:pPr>
                                          <w:r>
                                            <w:rPr>
                                              <w:noProof/>
                                              <w:color w:val="000000"/>
                                            </w:rPr>
                                            <w:drawing>
                                              <wp:inline distT="0" distB="0" distL="0" distR="0" wp14:anchorId="3AA5C0D6" wp14:editId="41E9F3BE">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2D9DFFC" w14:textId="77777777" w:rsidR="009F278D" w:rsidRDefault="009F278D">
                                    <w:pPr>
                                      <w:jc w:val="center"/>
                                      <w:rPr>
                                        <w:rFonts w:eastAsia="Times New Roman"/>
                                        <w:sz w:val="20"/>
                                        <w:szCs w:val="20"/>
                                      </w:rPr>
                                    </w:pPr>
                                  </w:p>
                                </w:tc>
                              </w:tr>
                            </w:tbl>
                            <w:p w14:paraId="048BC9A7" w14:textId="77777777" w:rsidR="009F278D" w:rsidRDefault="009F278D">
                              <w:pPr>
                                <w:jc w:val="center"/>
                                <w:rPr>
                                  <w:rFonts w:eastAsia="Times New Roman"/>
                                  <w:sz w:val="20"/>
                                  <w:szCs w:val="20"/>
                                </w:rPr>
                              </w:pPr>
                            </w:p>
                          </w:tc>
                        </w:tr>
                      </w:tbl>
                      <w:p w14:paraId="4EEA5035" w14:textId="77777777" w:rsidR="009F278D" w:rsidRDefault="009F278D">
                        <w:pPr>
                          <w:rPr>
                            <w:rFonts w:eastAsia="Times New Roman"/>
                            <w:sz w:val="20"/>
                            <w:szCs w:val="20"/>
                          </w:rPr>
                        </w:pPr>
                      </w:p>
                    </w:tc>
                  </w:tr>
                  <w:tr w:rsidR="009F278D" w14:paraId="079948A9" w14:textId="77777777">
                    <w:trPr>
                      <w:jc w:val="center"/>
                    </w:trPr>
                    <w:tc>
                      <w:tcPr>
                        <w:tcW w:w="5000" w:type="pct"/>
                        <w:hideMark/>
                      </w:tcPr>
                      <w:tbl>
                        <w:tblPr>
                          <w:tblW w:w="10860" w:type="dxa"/>
                          <w:tblCellMar>
                            <w:left w:w="0" w:type="dxa"/>
                            <w:right w:w="0" w:type="dxa"/>
                          </w:tblCellMar>
                          <w:tblLook w:val="04A0" w:firstRow="1" w:lastRow="0" w:firstColumn="1" w:lastColumn="0" w:noHBand="0" w:noVBand="1"/>
                        </w:tblPr>
                        <w:tblGrid>
                          <w:gridCol w:w="10860"/>
                        </w:tblGrid>
                        <w:tr w:rsidR="009F278D" w14:paraId="17AC3830" w14:textId="77777777" w:rsidTr="009F278D">
                          <w:trPr>
                            <w:trHeight w:val="346"/>
                          </w:trPr>
                          <w:tc>
                            <w:tcPr>
                              <w:tcW w:w="0" w:type="auto"/>
                              <w:tcMar>
                                <w:top w:w="150" w:type="dxa"/>
                                <w:left w:w="0" w:type="dxa"/>
                                <w:bottom w:w="150" w:type="dxa"/>
                                <w:right w:w="0" w:type="dxa"/>
                              </w:tcMar>
                            </w:tcPr>
                            <w:p w14:paraId="74E53196" w14:textId="1DBCA251" w:rsidR="009F278D" w:rsidRDefault="009F278D">
                              <w:pPr>
                                <w:pStyle w:val="xmsonormal"/>
                                <w:jc w:val="center"/>
                              </w:pPr>
                              <w:r>
                                <w:rPr>
                                  <w:noProof/>
                                  <w:color w:val="0000FF"/>
                                </w:rPr>
                                <w:drawing>
                                  <wp:inline distT="0" distB="0" distL="0" distR="0" wp14:anchorId="68ABD1CB" wp14:editId="229C46D1">
                                    <wp:extent cx="2533650" cy="1238250"/>
                                    <wp:effectExtent l="0" t="0" r="0" b="0"/>
                                    <wp:docPr id="15" name="Picture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238250"/>
                                            </a:xfrm>
                                            <a:prstGeom prst="rect">
                                              <a:avLst/>
                                            </a:prstGeom>
                                            <a:noFill/>
                                            <a:ln>
                                              <a:noFill/>
                                            </a:ln>
                                          </pic:spPr>
                                        </pic:pic>
                                      </a:graphicData>
                                    </a:graphic>
                                  </wp:inline>
                                </w:drawing>
                              </w:r>
                            </w:p>
                          </w:tc>
                        </w:tr>
                        <w:tr w:rsidR="009F278D" w14:paraId="68054FA2" w14:textId="77777777" w:rsidTr="009F278D">
                          <w:trPr>
                            <w:trHeight w:val="307"/>
                          </w:trPr>
                          <w:tc>
                            <w:tcPr>
                              <w:tcW w:w="0" w:type="auto"/>
                            </w:tcPr>
                            <w:p w14:paraId="298ED81B" w14:textId="77777777" w:rsidR="009F278D" w:rsidRDefault="009F278D">
                              <w:pPr>
                                <w:jc w:val="center"/>
                                <w:rPr>
                                  <w:rFonts w:eastAsia="Times New Roman"/>
                                  <w:sz w:val="20"/>
                                  <w:szCs w:val="20"/>
                                </w:rPr>
                              </w:pPr>
                            </w:p>
                          </w:tc>
                        </w:tr>
                      </w:tbl>
                      <w:p w14:paraId="2ECCF329" w14:textId="77777777" w:rsidR="009F278D" w:rsidRDefault="009F278D">
                        <w:pPr>
                          <w:rPr>
                            <w:rFonts w:eastAsia="Times New Roman"/>
                            <w:sz w:val="20"/>
                            <w:szCs w:val="20"/>
                          </w:rPr>
                        </w:pPr>
                      </w:p>
                    </w:tc>
                  </w:tr>
                  <w:tr w:rsidR="009F278D" w14:paraId="1ED6A547" w14:textId="77777777">
                    <w:trPr>
                      <w:jc w:val="center"/>
                    </w:trPr>
                    <w:tc>
                      <w:tcPr>
                        <w:tcW w:w="5000" w:type="pct"/>
                        <w:shd w:val="clear" w:color="auto" w:fill="2B4CA9"/>
                        <w:hideMark/>
                      </w:tcPr>
                      <w:p w14:paraId="3785B0A6" w14:textId="395FE625" w:rsidR="009F278D" w:rsidRDefault="009F278D">
                        <w:pPr>
                          <w:rPr>
                            <w:rFonts w:eastAsia="Times New Roman"/>
                            <w:sz w:val="20"/>
                            <w:szCs w:val="20"/>
                          </w:rPr>
                        </w:pPr>
                        <w:r>
                          <w:t> </w:t>
                        </w:r>
                      </w:p>
                    </w:tc>
                  </w:tr>
                  <w:tr w:rsidR="009F278D" w14:paraId="1092A57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F278D" w14:paraId="3739A85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F278D" w14:paraId="476A1925" w14:textId="77777777" w:rsidTr="009F278D">
                                <w:trPr>
                                  <w:trHeight w:val="15"/>
                                  <w:jc w:val="center"/>
                                </w:trPr>
                                <w:tc>
                                  <w:tcPr>
                                    <w:tcW w:w="5000" w:type="pct"/>
                                    <w:tcMar>
                                      <w:top w:w="0" w:type="dxa"/>
                                      <w:left w:w="0" w:type="dxa"/>
                                      <w:bottom w:w="150" w:type="dxa"/>
                                      <w:right w:w="0" w:type="dxa"/>
                                    </w:tcMar>
                                  </w:tcPr>
                                  <w:p w14:paraId="32B79208" w14:textId="5FE4FF06" w:rsidR="009F278D" w:rsidRDefault="009F278D">
                                    <w:pPr>
                                      <w:pStyle w:val="xmsonormal"/>
                                      <w:jc w:val="center"/>
                                    </w:pPr>
                                  </w:p>
                                </w:tc>
                              </w:tr>
                            </w:tbl>
                            <w:p w14:paraId="4C536AEB" w14:textId="77777777" w:rsidR="009F278D" w:rsidRDefault="009F278D">
                              <w:pPr>
                                <w:jc w:val="center"/>
                                <w:rPr>
                                  <w:rFonts w:eastAsia="Times New Roman"/>
                                  <w:sz w:val="20"/>
                                  <w:szCs w:val="20"/>
                                </w:rPr>
                              </w:pPr>
                            </w:p>
                          </w:tc>
                        </w:tr>
                      </w:tbl>
                      <w:p w14:paraId="39FBEBD2" w14:textId="77777777" w:rsidR="009F278D" w:rsidRDefault="009F278D">
                        <w:pPr>
                          <w:rPr>
                            <w:rFonts w:eastAsia="Times New Roman"/>
                            <w:sz w:val="20"/>
                            <w:szCs w:val="20"/>
                          </w:rPr>
                        </w:pPr>
                      </w:p>
                    </w:tc>
                  </w:tr>
                  <w:tr w:rsidR="009F278D" w14:paraId="165B6727" w14:textId="77777777">
                    <w:trPr>
                      <w:jc w:val="center"/>
                    </w:trPr>
                    <w:tc>
                      <w:tcPr>
                        <w:tcW w:w="5000" w:type="pct"/>
                        <w:hideMark/>
                      </w:tcPr>
                      <w:p w14:paraId="6FF7F413" w14:textId="65971AC9" w:rsidR="009F278D" w:rsidRDefault="009F278D">
                        <w:pPr>
                          <w:rPr>
                            <w:rFonts w:eastAsia="Times New Roman"/>
                            <w:sz w:val="20"/>
                            <w:szCs w:val="20"/>
                          </w:rPr>
                        </w:pPr>
                        <w:r>
                          <w:t> </w:t>
                        </w:r>
                        <w:bookmarkStart w:id="0" w:name="_GoBack"/>
                        <w:bookmarkEnd w:id="0"/>
                      </w:p>
                    </w:tc>
                  </w:tr>
                  <w:tr w:rsidR="009F278D" w14:paraId="7F38A20B" w14:textId="77777777">
                    <w:trPr>
                      <w:jc w:val="center"/>
                    </w:trPr>
                    <w:tc>
                      <w:tcPr>
                        <w:tcW w:w="5000" w:type="pct"/>
                        <w:hideMark/>
                      </w:tcPr>
                      <w:p w14:paraId="3B5677A4" w14:textId="77777777" w:rsidR="009F278D" w:rsidRDefault="009F278D">
                        <w:pPr>
                          <w:rPr>
                            <w:rFonts w:eastAsia="Times New Roman"/>
                            <w:sz w:val="20"/>
                            <w:szCs w:val="20"/>
                          </w:rPr>
                        </w:pPr>
                      </w:p>
                    </w:tc>
                  </w:tr>
                </w:tbl>
                <w:p w14:paraId="3AAD8D89" w14:textId="77777777" w:rsidR="009F278D" w:rsidRDefault="009F278D">
                  <w:pPr>
                    <w:jc w:val="center"/>
                    <w:rPr>
                      <w:rFonts w:eastAsia="Times New Roman"/>
                      <w:sz w:val="20"/>
                      <w:szCs w:val="20"/>
                    </w:rPr>
                  </w:pPr>
                </w:p>
              </w:tc>
            </w:tr>
          </w:tbl>
          <w:p w14:paraId="4F17C294" w14:textId="4D77C696" w:rsidR="009F278D" w:rsidRDefault="009F278D">
            <w:pPr>
              <w:pStyle w:val="xmsonormal"/>
              <w:jc w:val="center"/>
            </w:pPr>
          </w:p>
          <w:tbl>
            <w:tblPr>
              <w:tblW w:w="5000" w:type="pct"/>
              <w:jc w:val="center"/>
              <w:tblCellMar>
                <w:left w:w="0" w:type="dxa"/>
                <w:right w:w="0" w:type="dxa"/>
              </w:tblCellMar>
              <w:tblLook w:val="04A0" w:firstRow="1" w:lastRow="0" w:firstColumn="1" w:lastColumn="0" w:noHBand="0" w:noVBand="1"/>
            </w:tblPr>
            <w:tblGrid>
              <w:gridCol w:w="10800"/>
            </w:tblGrid>
            <w:tr w:rsidR="009F278D" w14:paraId="3513A76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F278D" w14:paraId="639927D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9F278D" w14:paraId="25366B0F"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9F278D" w14:paraId="0D8674F0" w14:textId="77777777">
                                <w:trPr>
                                  <w:trHeight w:val="15"/>
                                  <w:jc w:val="center"/>
                                </w:trPr>
                                <w:tc>
                                  <w:tcPr>
                                    <w:tcW w:w="0" w:type="auto"/>
                                    <w:shd w:val="clear" w:color="auto" w:fill="FFB009"/>
                                    <w:tcMar>
                                      <w:top w:w="0" w:type="dxa"/>
                                      <w:left w:w="0" w:type="dxa"/>
                                      <w:bottom w:w="45" w:type="dxa"/>
                                      <w:right w:w="0" w:type="dxa"/>
                                    </w:tcMar>
                                    <w:vAlign w:val="center"/>
                                    <w:hideMark/>
                                  </w:tcPr>
                                  <w:p w14:paraId="5D908D38" w14:textId="7C2745B9" w:rsidR="009F278D" w:rsidRDefault="009F278D">
                                    <w:pPr>
                                      <w:pStyle w:val="xmsonormal"/>
                                      <w:jc w:val="center"/>
                                    </w:pPr>
                                  </w:p>
                                </w:tc>
                              </w:tr>
                            </w:tbl>
                            <w:p w14:paraId="7A40DB9F" w14:textId="77777777" w:rsidR="009F278D" w:rsidRDefault="009F278D">
                              <w:pPr>
                                <w:jc w:val="center"/>
                                <w:rPr>
                                  <w:rFonts w:eastAsia="Times New Roman"/>
                                  <w:sz w:val="20"/>
                                  <w:szCs w:val="20"/>
                                </w:rPr>
                              </w:pPr>
                            </w:p>
                          </w:tc>
                        </w:tr>
                      </w:tbl>
                      <w:p w14:paraId="33B5E183" w14:textId="77777777" w:rsidR="009F278D" w:rsidRDefault="009F278D">
                        <w:pPr>
                          <w:jc w:val="center"/>
                          <w:rPr>
                            <w:rFonts w:eastAsia="Times New Roman"/>
                            <w:sz w:val="20"/>
                            <w:szCs w:val="20"/>
                          </w:rPr>
                        </w:pPr>
                      </w:p>
                    </w:tc>
                  </w:tr>
                </w:tbl>
                <w:p w14:paraId="059B6238" w14:textId="77777777" w:rsidR="009F278D" w:rsidRDefault="009F278D">
                  <w:pPr>
                    <w:rPr>
                      <w:rFonts w:eastAsia="Times New Roman"/>
                      <w:sz w:val="20"/>
                      <w:szCs w:val="20"/>
                    </w:rPr>
                  </w:pPr>
                </w:p>
              </w:tc>
            </w:tr>
            <w:tr w:rsidR="009F278D" w14:paraId="566658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F278D" w14:paraId="60223884" w14:textId="77777777">
                    <w:tc>
                      <w:tcPr>
                        <w:tcW w:w="0" w:type="auto"/>
                        <w:tcMar>
                          <w:top w:w="150" w:type="dxa"/>
                          <w:left w:w="300" w:type="dxa"/>
                          <w:bottom w:w="150" w:type="dxa"/>
                          <w:right w:w="300" w:type="dxa"/>
                        </w:tcMar>
                        <w:hideMark/>
                      </w:tcPr>
                      <w:p w14:paraId="7205B5F4" w14:textId="77777777" w:rsidR="009F278D" w:rsidRDefault="009F278D">
                        <w:pPr>
                          <w:pStyle w:val="xmsonormal"/>
                        </w:pPr>
                        <w:r>
                          <w:rPr>
                            <w:rFonts w:ascii="Arial" w:hAnsi="Arial" w:cs="Arial"/>
                            <w:b/>
                            <w:bCs/>
                            <w:color w:val="000000"/>
                            <w:sz w:val="30"/>
                            <w:szCs w:val="30"/>
                          </w:rPr>
                          <w:t>New Webinar Series on Mindful Self-Compassion for Families and Providers</w:t>
                        </w:r>
                      </w:p>
                    </w:tc>
                  </w:tr>
                </w:tbl>
                <w:p w14:paraId="1BDF08EE" w14:textId="77777777" w:rsidR="009F278D" w:rsidRDefault="009F278D">
                  <w:pPr>
                    <w:rPr>
                      <w:rFonts w:eastAsia="Times New Roman"/>
                      <w:sz w:val="20"/>
                      <w:szCs w:val="20"/>
                    </w:rPr>
                  </w:pPr>
                </w:p>
              </w:tc>
            </w:tr>
          </w:tbl>
          <w:p w14:paraId="2F561A2D" w14:textId="77777777" w:rsidR="009F278D" w:rsidRDefault="009F278D">
            <w:pPr>
              <w:pStyle w:val="xmsonormal"/>
              <w:jc w:val="center"/>
            </w:pPr>
            <w:r>
              <w:t> </w:t>
            </w:r>
          </w:p>
          <w:tbl>
            <w:tblPr>
              <w:tblW w:w="5000" w:type="pct"/>
              <w:jc w:val="center"/>
              <w:tblCellMar>
                <w:left w:w="0" w:type="dxa"/>
                <w:right w:w="0" w:type="dxa"/>
              </w:tblCellMar>
              <w:tblLook w:val="04A0" w:firstRow="1" w:lastRow="0" w:firstColumn="1" w:lastColumn="0" w:noHBand="0" w:noVBand="1"/>
            </w:tblPr>
            <w:tblGrid>
              <w:gridCol w:w="10800"/>
            </w:tblGrid>
            <w:tr w:rsidR="009F278D" w14:paraId="2F463E0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F278D" w14:paraId="3DE978EE" w14:textId="77777777">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660"/>
                        </w:tblGrid>
                        <w:tr w:rsidR="009F278D" w14:paraId="5DE5150A" w14:textId="77777777">
                          <w:trPr>
                            <w:trHeight w:val="15"/>
                          </w:trPr>
                          <w:tc>
                            <w:tcPr>
                              <w:tcW w:w="225" w:type="dxa"/>
                              <w:hideMark/>
                            </w:tcPr>
                            <w:p w14:paraId="1536FD87" w14:textId="33C78978" w:rsidR="009F278D" w:rsidRDefault="009F278D">
                              <w:pPr>
                                <w:pStyle w:val="xmsonormal"/>
                                <w:jc w:val="center"/>
                              </w:pPr>
                              <w:r>
                                <w:rPr>
                                  <w:noProof/>
                                </w:rPr>
                                <w:lastRenderedPageBreak/>
                                <w:drawing>
                                  <wp:inline distT="0" distB="0" distL="0" distR="0" wp14:anchorId="353413D3" wp14:editId="611312DD">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79A8DAF6" w14:textId="6D94AD05" w:rsidR="009F278D" w:rsidRDefault="009F278D">
                              <w:pPr>
                                <w:pStyle w:val="xmsonormal"/>
                                <w:jc w:val="center"/>
                              </w:pPr>
                              <w:r>
                                <w:rPr>
                                  <w:noProof/>
                                </w:rPr>
                                <w:drawing>
                                  <wp:inline distT="0" distB="0" distL="0" distR="0" wp14:anchorId="29E95FF1" wp14:editId="38B0B175">
                                    <wp:extent cx="231457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inline>
                                </w:drawing>
                              </w:r>
                            </w:p>
                          </w:tc>
                        </w:tr>
                        <w:tr w:rsidR="009F278D" w14:paraId="3DE97841" w14:textId="77777777">
                          <w:trPr>
                            <w:trHeight w:val="75"/>
                          </w:trPr>
                          <w:tc>
                            <w:tcPr>
                              <w:tcW w:w="75" w:type="dxa"/>
                              <w:hideMark/>
                            </w:tcPr>
                            <w:p w14:paraId="3864FC45" w14:textId="0102BCE4" w:rsidR="009F278D" w:rsidRDefault="009F278D">
                              <w:pPr>
                                <w:pStyle w:val="xmsonormal"/>
                                <w:jc w:val="center"/>
                              </w:pPr>
                              <w:r>
                                <w:rPr>
                                  <w:noProof/>
                                </w:rPr>
                                <w:drawing>
                                  <wp:inline distT="0" distB="0" distL="0" distR="0" wp14:anchorId="791275AB" wp14:editId="735E3ACD">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152EC287" w14:textId="546C3DD3" w:rsidR="009F278D" w:rsidRDefault="009F278D">
                              <w:pPr>
                                <w:pStyle w:val="xmsonormal"/>
                                <w:jc w:val="center"/>
                              </w:pPr>
                              <w:r>
                                <w:rPr>
                                  <w:noProof/>
                                </w:rPr>
                                <w:drawing>
                                  <wp:inline distT="0" distB="0" distL="0" distR="0" wp14:anchorId="54390826" wp14:editId="74BB6706">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40B72CD5" w14:textId="77777777" w:rsidR="009F278D" w:rsidRDefault="009F278D">
                        <w:pPr>
                          <w:pStyle w:val="xmsonormal"/>
                        </w:pPr>
                        <w:r>
                          <w:t> </w:t>
                        </w:r>
                      </w:p>
                      <w:p w14:paraId="4E3FAB57" w14:textId="77777777" w:rsidR="009F278D" w:rsidRDefault="009F278D">
                        <w:pPr>
                          <w:pStyle w:val="xmsonormal"/>
                        </w:pPr>
                        <w:r>
                          <w:rPr>
                            <w:rFonts w:ascii="Arial" w:hAnsi="Arial" w:cs="Arial"/>
                            <w:color w:val="000000"/>
                            <w:sz w:val="21"/>
                            <w:szCs w:val="21"/>
                          </w:rPr>
                          <w:t xml:space="preserve">The Brazelton Touchpoints Center, the Center for Child and Family Well-being at the University of Washington, and the Center for Mindful </w:t>
                        </w:r>
                      </w:p>
                      <w:p w14:paraId="7B9CF8C7" w14:textId="77777777" w:rsidR="009F278D" w:rsidRDefault="009F278D">
                        <w:pPr>
                          <w:pStyle w:val="xmsonormal"/>
                        </w:pPr>
                        <w:r>
                          <w:rPr>
                            <w:rFonts w:ascii="Arial" w:hAnsi="Arial" w:cs="Arial"/>
                            <w:color w:val="000000"/>
                            <w:sz w:val="21"/>
                            <w:szCs w:val="21"/>
                          </w:rPr>
                          <w:t xml:space="preserve">Self-Compassion have teamed up for a </w:t>
                        </w:r>
                      </w:p>
                      <w:p w14:paraId="5000D1C5" w14:textId="77777777" w:rsidR="009F278D" w:rsidRDefault="009F278D">
                        <w:pPr>
                          <w:pStyle w:val="xmsonormal"/>
                        </w:pPr>
                        <w:r>
                          <w:rPr>
                            <w:rFonts w:ascii="Arial" w:hAnsi="Arial" w:cs="Arial"/>
                            <w:color w:val="000000"/>
                            <w:sz w:val="21"/>
                            <w:szCs w:val="21"/>
                          </w:rPr>
                          <w:t>three-part webinar series that will introduce families and family-facing providers to mindful self-compassion (MSC) practices to help them care for themselves and each other. Research has shown that these practices can greatly enhance emotional well-being, boost resilience, reduce anxiety and depression, and even help foster healthy lifestyle habits.</w:t>
                        </w:r>
                      </w:p>
                      <w:p w14:paraId="4A7C4690" w14:textId="77777777" w:rsidR="009F278D" w:rsidRDefault="009F278D">
                        <w:pPr>
                          <w:pStyle w:val="xmsonormal"/>
                        </w:pPr>
                        <w:r>
                          <w:rPr>
                            <w:rFonts w:ascii="Arial" w:hAnsi="Arial" w:cs="Arial"/>
                            <w:color w:val="000000"/>
                            <w:sz w:val="21"/>
                            <w:szCs w:val="21"/>
                          </w:rPr>
                          <w:t> </w:t>
                        </w:r>
                      </w:p>
                      <w:p w14:paraId="1CABCD8B" w14:textId="77777777" w:rsidR="009F278D" w:rsidRDefault="009F278D">
                        <w:pPr>
                          <w:pStyle w:val="xmsonormal"/>
                        </w:pPr>
                        <w:r>
                          <w:rPr>
                            <w:rFonts w:ascii="Arial" w:hAnsi="Arial" w:cs="Arial"/>
                            <w:color w:val="000000"/>
                            <w:sz w:val="21"/>
                            <w:szCs w:val="21"/>
                          </w:rPr>
                          <w:t xml:space="preserve">Registration is open for the first two webinars, on </w:t>
                        </w:r>
                        <w:r>
                          <w:rPr>
                            <w:rFonts w:ascii="Arial" w:hAnsi="Arial" w:cs="Arial"/>
                            <w:b/>
                            <w:bCs/>
                            <w:color w:val="000000"/>
                            <w:sz w:val="21"/>
                            <w:szCs w:val="21"/>
                          </w:rPr>
                          <w:t>April 29</w:t>
                        </w:r>
                        <w:r>
                          <w:rPr>
                            <w:rFonts w:ascii="Arial" w:hAnsi="Arial" w:cs="Arial"/>
                            <w:color w:val="000000"/>
                            <w:sz w:val="21"/>
                            <w:szCs w:val="21"/>
                          </w:rPr>
                          <w:t xml:space="preserve"> and </w:t>
                        </w:r>
                        <w:r>
                          <w:rPr>
                            <w:rFonts w:ascii="Arial" w:hAnsi="Arial" w:cs="Arial"/>
                            <w:b/>
                            <w:bCs/>
                            <w:color w:val="000000"/>
                            <w:sz w:val="21"/>
                            <w:szCs w:val="21"/>
                          </w:rPr>
                          <w:t>May 13</w:t>
                        </w:r>
                        <w:r>
                          <w:rPr>
                            <w:rFonts w:ascii="Arial" w:hAnsi="Arial" w:cs="Arial"/>
                            <w:color w:val="000000"/>
                            <w:sz w:val="21"/>
                            <w:szCs w:val="21"/>
                          </w:rPr>
                          <w:t xml:space="preserve">. The first webinar will </w:t>
                        </w:r>
                        <w:proofErr w:type="gramStart"/>
                        <w:r>
                          <w:rPr>
                            <w:rFonts w:ascii="Arial" w:hAnsi="Arial" w:cs="Arial"/>
                            <w:color w:val="000000"/>
                            <w:sz w:val="21"/>
                            <w:szCs w:val="21"/>
                          </w:rPr>
                          <w:t>provide an introduction to</w:t>
                        </w:r>
                        <w:proofErr w:type="gramEnd"/>
                        <w:r>
                          <w:rPr>
                            <w:rFonts w:ascii="Arial" w:hAnsi="Arial" w:cs="Arial"/>
                            <w:color w:val="000000"/>
                            <w:sz w:val="21"/>
                            <w:szCs w:val="21"/>
                          </w:rPr>
                          <w:t xml:space="preserve"> MSC, the research that supports it, and a few simple ways we can bring it into our lives during these challenging times. Participants will learn how MSC is being practiced in diverse communities around the world, can build resilience in all kinds of families, reduce caregiver burnout, and strengthen relationships. Participants will have a chance to experience MSC through a few brief practice exercises.</w:t>
                        </w:r>
                        <w:r>
                          <w:rPr>
                            <w:rFonts w:ascii="Arial" w:hAnsi="Arial" w:cs="Arial"/>
                            <w:color w:val="111F33"/>
                            <w:sz w:val="21"/>
                            <w:szCs w:val="21"/>
                          </w:rPr>
                          <w:t xml:space="preserve"> </w:t>
                        </w:r>
                      </w:p>
                      <w:p w14:paraId="05F90F10" w14:textId="77777777" w:rsidR="009F278D" w:rsidRDefault="009F278D">
                        <w:pPr>
                          <w:pStyle w:val="xmsonormal"/>
                        </w:pPr>
                        <w:r>
                          <w:rPr>
                            <w:rFonts w:ascii="Arial" w:hAnsi="Arial" w:cs="Arial"/>
                            <w:color w:val="000000"/>
                            <w:sz w:val="21"/>
                            <w:szCs w:val="21"/>
                          </w:rPr>
                          <w:t> </w:t>
                        </w:r>
                      </w:p>
                      <w:p w14:paraId="3EC389D1" w14:textId="77777777" w:rsidR="009F278D" w:rsidRDefault="009F278D">
                        <w:pPr>
                          <w:pStyle w:val="xmsonormal"/>
                        </w:pPr>
                        <w:r>
                          <w:rPr>
                            <w:rFonts w:ascii="Arial" w:hAnsi="Arial" w:cs="Arial"/>
                            <w:color w:val="000000"/>
                            <w:sz w:val="21"/>
                            <w:szCs w:val="21"/>
                          </w:rPr>
                          <w:t>The second webinar will explore how communities can create culturally relevant, trauma-informed mindfulness and self-compassion programs. Representatives from a team of parent leaders and health care partners in Seattle, Washington, will share their experience developing community-led mindfulness and self-compassion practices to promote the well-being of youth, families, and communities who are marginalized. Together, they’ve worked to build resilience and collective capacity for social justice and healing.</w:t>
                        </w:r>
                      </w:p>
                      <w:p w14:paraId="6E8AE8D2" w14:textId="77777777" w:rsidR="009F278D" w:rsidRDefault="009F278D">
                        <w:pPr>
                          <w:pStyle w:val="xmsonormal"/>
                        </w:pPr>
                        <w:r>
                          <w:rPr>
                            <w:rFonts w:ascii="Arial" w:hAnsi="Arial" w:cs="Arial"/>
                            <w:color w:val="111F33"/>
                            <w:sz w:val="21"/>
                            <w:szCs w:val="21"/>
                          </w:rPr>
                          <w:t> </w:t>
                        </w:r>
                      </w:p>
                      <w:p w14:paraId="6212AE95" w14:textId="77777777" w:rsidR="009F278D" w:rsidRDefault="009F278D">
                        <w:pPr>
                          <w:pStyle w:val="xmsonormal"/>
                        </w:pPr>
                        <w:r>
                          <w:rPr>
                            <w:rFonts w:ascii="Arial" w:hAnsi="Arial" w:cs="Arial"/>
                            <w:b/>
                            <w:bCs/>
                            <w:color w:val="2B4CA9"/>
                            <w:sz w:val="27"/>
                            <w:szCs w:val="27"/>
                          </w:rPr>
                          <w:t>Webinar 1:</w:t>
                        </w:r>
                      </w:p>
                      <w:p w14:paraId="01C0725C" w14:textId="77777777" w:rsidR="009F278D" w:rsidRDefault="009F278D">
                        <w:pPr>
                          <w:pStyle w:val="xmsonormal"/>
                        </w:pPr>
                        <w:r>
                          <w:rPr>
                            <w:rFonts w:ascii="Arial" w:hAnsi="Arial" w:cs="Arial"/>
                            <w:b/>
                            <w:bCs/>
                            <w:color w:val="232333"/>
                          </w:rPr>
                          <w:t>Mindful Self-Compassion: Heart Skills for Our Families and Ourselves in Challenging Times</w:t>
                        </w:r>
                      </w:p>
                      <w:p w14:paraId="4EEFD9EF" w14:textId="77777777" w:rsidR="009F278D" w:rsidRDefault="009F278D">
                        <w:pPr>
                          <w:pStyle w:val="xmsonormal"/>
                        </w:pPr>
                        <w:r>
                          <w:rPr>
                            <w:rFonts w:ascii="Arial" w:hAnsi="Arial" w:cs="Arial"/>
                            <w:color w:val="111F33"/>
                          </w:rPr>
                          <w:t>Wednesday, April 29 at 12 PM PT / 3 PM ET</w:t>
                        </w:r>
                      </w:p>
                      <w:p w14:paraId="62888D9A" w14:textId="77777777" w:rsidR="009F278D" w:rsidRDefault="009F278D">
                        <w:pPr>
                          <w:pStyle w:val="xmsonormal"/>
                        </w:pPr>
                        <w:hyperlink r:id="rId8" w:tgtFrame="_blank" w:history="1">
                          <w:r>
                            <w:rPr>
                              <w:rStyle w:val="Hyperlink"/>
                              <w:rFonts w:ascii="Arial" w:hAnsi="Arial" w:cs="Arial"/>
                              <w:b/>
                              <w:bCs/>
                              <w:color w:val="0C0CB3"/>
                              <w:sz w:val="27"/>
                              <w:szCs w:val="27"/>
                            </w:rPr>
                            <w:t xml:space="preserve">Register Today! </w:t>
                          </w:r>
                        </w:hyperlink>
                      </w:p>
                      <w:p w14:paraId="2BAD2D61" w14:textId="77777777" w:rsidR="009F278D" w:rsidRDefault="009F278D">
                        <w:pPr>
                          <w:pStyle w:val="xmsonormal"/>
                        </w:pPr>
                        <w:r>
                          <w:rPr>
                            <w:rFonts w:ascii="Arial" w:hAnsi="Arial" w:cs="Arial"/>
                            <w:color w:val="111F33"/>
                            <w:sz w:val="21"/>
                            <w:szCs w:val="21"/>
                          </w:rPr>
                          <w:t> </w:t>
                        </w:r>
                      </w:p>
                      <w:p w14:paraId="2DB2B350" w14:textId="77777777" w:rsidR="009F278D" w:rsidRDefault="009F278D">
                        <w:pPr>
                          <w:pStyle w:val="xmsonormal"/>
                        </w:pPr>
                        <w:r>
                          <w:rPr>
                            <w:rFonts w:ascii="Arial" w:hAnsi="Arial" w:cs="Arial"/>
                            <w:b/>
                            <w:bCs/>
                            <w:color w:val="2B4CA9"/>
                            <w:sz w:val="27"/>
                            <w:szCs w:val="27"/>
                          </w:rPr>
                          <w:t>Webinar 2:</w:t>
                        </w:r>
                      </w:p>
                      <w:p w14:paraId="3B95CC12" w14:textId="77777777" w:rsidR="009F278D" w:rsidRDefault="009F278D">
                        <w:pPr>
                          <w:pStyle w:val="xmsonormal"/>
                        </w:pPr>
                        <w:r>
                          <w:rPr>
                            <w:rFonts w:ascii="Arial" w:hAnsi="Arial" w:cs="Arial"/>
                            <w:b/>
                            <w:bCs/>
                            <w:color w:val="000000"/>
                          </w:rPr>
                          <w:t>Mindful Self-Compassion: Co-creating Heart Skills with Communities</w:t>
                        </w:r>
                      </w:p>
                      <w:p w14:paraId="7CC2975E" w14:textId="77777777" w:rsidR="009F278D" w:rsidRDefault="009F278D">
                        <w:pPr>
                          <w:pStyle w:val="xmsonormal"/>
                        </w:pPr>
                        <w:r>
                          <w:rPr>
                            <w:rFonts w:ascii="Arial" w:hAnsi="Arial" w:cs="Arial"/>
                            <w:color w:val="000000"/>
                          </w:rPr>
                          <w:t>Wednesday, May 13 at 12 PM PT / 3 PM ET</w:t>
                        </w:r>
                      </w:p>
                      <w:p w14:paraId="5035E044" w14:textId="77777777" w:rsidR="009F278D" w:rsidRDefault="009F278D">
                        <w:pPr>
                          <w:pStyle w:val="xmsonormal"/>
                        </w:pPr>
                        <w:hyperlink r:id="rId9" w:tgtFrame="_blank" w:history="1">
                          <w:r>
                            <w:rPr>
                              <w:rStyle w:val="Hyperlink"/>
                              <w:rFonts w:ascii="Arial" w:hAnsi="Arial" w:cs="Arial"/>
                              <w:b/>
                              <w:bCs/>
                              <w:color w:val="0C0CB3"/>
                              <w:sz w:val="27"/>
                              <w:szCs w:val="27"/>
                            </w:rPr>
                            <w:t xml:space="preserve">Register Today! </w:t>
                          </w:r>
                        </w:hyperlink>
                      </w:p>
                    </w:tc>
                  </w:tr>
                </w:tbl>
                <w:p w14:paraId="40D10F56" w14:textId="77777777" w:rsidR="009F278D" w:rsidRDefault="009F278D">
                  <w:pPr>
                    <w:rPr>
                      <w:rFonts w:eastAsia="Times New Roman"/>
                      <w:sz w:val="20"/>
                      <w:szCs w:val="20"/>
                    </w:rPr>
                  </w:pPr>
                </w:p>
              </w:tc>
            </w:tr>
          </w:tbl>
          <w:p w14:paraId="34C60F3F" w14:textId="77777777" w:rsidR="009F278D" w:rsidRDefault="009F278D">
            <w:pPr>
              <w:jc w:val="center"/>
              <w:rPr>
                <w:rFonts w:eastAsia="Times New Roman"/>
                <w:sz w:val="20"/>
                <w:szCs w:val="20"/>
              </w:rPr>
            </w:pPr>
          </w:p>
        </w:tc>
      </w:tr>
    </w:tbl>
    <w:p w14:paraId="50086CB9" w14:textId="71070FBB" w:rsidR="00E755BA" w:rsidRDefault="00E755BA"/>
    <w:p w14:paraId="6C60145A" w14:textId="77777777" w:rsidR="00A208CA" w:rsidRDefault="00A208CA"/>
    <w:sectPr w:rsidR="00A208CA" w:rsidSect="009F278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CA"/>
    <w:rsid w:val="009F278D"/>
    <w:rsid w:val="00A208CA"/>
    <w:rsid w:val="00CF5757"/>
    <w:rsid w:val="00E7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B6C82"/>
  <w15:chartTrackingRefBased/>
  <w15:docId w15:val="{2924C9BD-98CE-4D2E-8412-39F2D507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78D"/>
    <w:rPr>
      <w:color w:val="0000FF"/>
      <w:u w:val="single"/>
    </w:rPr>
  </w:style>
  <w:style w:type="paragraph" w:customStyle="1" w:styleId="xmsonormal">
    <w:name w:val="x_msonormal"/>
    <w:basedOn w:val="Normal"/>
    <w:rsid w:val="009F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88FNfXrAcvplXJ1sQwZO_7IpU04UdB2883Qc7LPwVhT1f3LzMtO2l7MpmW1SebHFEK4_daWCb-vWj13U68Pk6FFK0W8raVegF-0VwSpa9CUmWbX29lnPoUPNXEoyXP-SlEnDrU4gn2esv4-SafI3NemW5hdJD3Uv8pdMu8d-dd6LXikTpu06BtijY2rG3I9fNINkpq4xAEXinVzqOXk4g==&amp;c=A9XYBLWPjfFvo_KeVzow9yo0yS1P3RAcyBqMygnxsL_dEXzx6T-nwQ==&amp;ch=xdc-nf5xHFu6Qr_tGpygDdMC1qnpajsO3VNLl9EoaGb3uce_u_E-PA=="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r20.rs6.net/tn.jsp?f=001C88FNfXrAcvplXJ1sQwZO_7IpU04UdB2883Qc7LPwVhT1f3LzMtO2mltucjXd5y1sv09aYQ4HuFmHQjCRvBmaX9lXBi-kSH_Xfy9nVYCReXokNtH-gaCq_0KhMLDM4dTePOfcK9iDOML7EB6EkkCBS8REtB4ULqb&amp;c=A9XYBLWPjfFvo_KeVzow9yo0yS1P3RAcyBqMygnxsL_dEXzx6T-nwQ==&amp;ch=xdc-nf5xHFu6Qr_tGpygDdMC1qnpajsO3VNLl9EoaGb3uce_u_E-PA=="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r20.rs6.net/tn.jsp?f=001C88FNfXrAcvplXJ1sQwZO_7IpU04UdB2883Qc7LPwVhT1f3LzMtO2mtRJQsEOtuy420nwIlMrQmBLslu-d92c-aCTOKrYifgY3w5Tbvlqbbg3yALcuahUYSIpEO3yBscTOypzj8Cxty5Dl9_1Tt76FfsKsYYqdyc9aOenyIKiP-ioWr9NCznNc4KKojrgbNZ7mobcI4_-40oIw_7DInAUw==&amp;c=A9XYBLWPjfFvo_KeVzow9yo0yS1P3RAcyBqMygnxsL_dEXzx6T-nwQ==&amp;ch=xdc-nf5xHFu6Qr_tGpygDdMC1qnpajsO3VNLl9EoaGb3uce_u_E-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Nevarez</dc:creator>
  <cp:keywords/>
  <dc:description/>
  <cp:lastModifiedBy>Martha Nevarez</cp:lastModifiedBy>
  <cp:revision>1</cp:revision>
  <dcterms:created xsi:type="dcterms:W3CDTF">2020-04-21T23:11:00Z</dcterms:created>
  <dcterms:modified xsi:type="dcterms:W3CDTF">2020-04-22T22:47:00Z</dcterms:modified>
</cp:coreProperties>
</file>